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right="-92" w:rightChars="-44" w:firstLine="720" w:firstLineChars="200"/>
        <w:jc w:val="both"/>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光彩事业南疆行项目</w:t>
      </w:r>
    </w:p>
    <w:p>
      <w:pPr>
        <w:pStyle w:val="48"/>
        <w:spacing w:line="700" w:lineRule="exact"/>
        <w:ind w:right="-92" w:rightChars="-44" w:firstLine="720" w:firstLineChars="200"/>
        <w:jc w:val="both"/>
        <w:rPr>
          <w:kern w:val="0"/>
          <w:sz w:val="36"/>
          <w:szCs w:val="36"/>
          <w:lang w:val="zh-TW" w:eastAsia="zh-TW"/>
        </w:rPr>
      </w:pPr>
      <w:r>
        <w:rPr>
          <w:rFonts w:ascii="仿宋_GB2312" w:hAnsi="仿宋_GB2312" w:eastAsia="仿宋_GB2312" w:cs="仿宋_GB2312"/>
          <w:kern w:val="0"/>
          <w:sz w:val="36"/>
          <w:szCs w:val="36"/>
          <w:lang w:val="zh-TW" w:eastAsia="zh-TW"/>
        </w:rPr>
        <w:t>实施单位（公章）：</w:t>
      </w:r>
      <w:r>
        <w:rPr>
          <w:rFonts w:hint="eastAsia" w:hAnsi="宋体" w:eastAsia="仿宋_GB2312" w:cs="宋体"/>
          <w:kern w:val="0"/>
          <w:sz w:val="36"/>
          <w:szCs w:val="36"/>
        </w:rPr>
        <w:t>塔什库尔干县</w:t>
      </w:r>
      <w:r>
        <w:rPr>
          <w:rFonts w:hint="eastAsia" w:hAnsi="宋体" w:eastAsia="仿宋_GB2312" w:cs="宋体"/>
          <w:kern w:val="0"/>
          <w:sz w:val="36"/>
          <w:szCs w:val="36"/>
          <w:lang w:eastAsia="zh-CN"/>
        </w:rPr>
        <w:t>招商局</w:t>
      </w:r>
    </w:p>
    <w:p>
      <w:pPr>
        <w:pStyle w:val="48"/>
        <w:spacing w:line="700" w:lineRule="exact"/>
        <w:ind w:right="-92" w:rightChars="-44" w:firstLine="720" w:firstLineChars="200"/>
        <w:jc w:val="both"/>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塔什库尔干县人民政府</w:t>
      </w:r>
    </w:p>
    <w:p>
      <w:pPr>
        <w:pStyle w:val="48"/>
        <w:spacing w:line="700" w:lineRule="exact"/>
        <w:ind w:right="-92" w:rightChars="-44" w:firstLine="720" w:firstLineChars="200"/>
        <w:jc w:val="both"/>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周绍明</w:t>
      </w:r>
    </w:p>
    <w:p>
      <w:pPr>
        <w:pStyle w:val="48"/>
        <w:spacing w:line="700" w:lineRule="exact"/>
        <w:ind w:right="-92" w:rightChars="-44" w:firstLine="720" w:firstLineChars="200"/>
        <w:jc w:val="both"/>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20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pStyle w:val="13"/>
        <w:keepNext w:val="0"/>
        <w:keepLines w:val="0"/>
        <w:pageBreakBefore w:val="0"/>
        <w:widowControl w:val="0"/>
        <w:tabs>
          <w:tab w:val="right" w:pos="8400"/>
          <w:tab w:val="clear" w:pos="8306"/>
        </w:tabs>
        <w:kinsoku/>
        <w:wordWrap/>
        <w:overflowPunct/>
        <w:topLinePunct w:val="0"/>
        <w:autoSpaceDE/>
        <w:autoSpaceDN/>
        <w:bidi w:val="0"/>
        <w:adjustRightInd/>
        <w:snapToGrid w:val="0"/>
        <w:spacing w:line="560" w:lineRule="exact"/>
        <w:ind w:left="0" w:leftChars="0" w:right="-92" w:rightChars="-44"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塔什库尔干县招商局负责招商引资工作及国内外展会参会参展，负责外经贸工作，与塔县外事办公室合署办公。招商局参照管理事业编制5人，其中领导职数2名；参公事业编制数3名，实有人员参照4人（正科1人，科员3人）。</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spacing w:line="52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9月15日光彩事业南疆行项目对接会，塔县代表团县委常委谢华同志带队，招商局2名干部参加，邀请深圳和正源集团企业参会；</w:t>
      </w:r>
    </w:p>
    <w:p>
      <w:pPr>
        <w:spacing w:line="520" w:lineRule="exact"/>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10月28日光彩事业南疆行项目签约仪式，塔县代表团县委常委毕鹏同志带队，招商局1名干部参加，邀请塔县金福源服装加工厂企业代表签约。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92" w:rightChars="-44" w:firstLine="640" w:firstLineChars="200"/>
        <w:jc w:val="both"/>
        <w:rPr>
          <w:rStyle w:val="19"/>
          <w:rFonts w:ascii="楷体" w:hAnsi="楷体" w:eastAsia="楷体"/>
          <w:spacing w:val="-4"/>
          <w:sz w:val="32"/>
          <w:szCs w:val="32"/>
        </w:rPr>
      </w:pPr>
      <w:r>
        <w:rPr>
          <w:rFonts w:hint="eastAsia" w:ascii="仿宋_GB2312" w:hAnsi="仿宋_GB2312" w:eastAsia="仿宋_GB2312" w:cs="仿宋_GB2312"/>
          <w:sz w:val="32"/>
          <w:szCs w:val="32"/>
          <w:lang w:val="en-US" w:eastAsia="zh-CN"/>
        </w:rPr>
        <w:t>光彩事业南疆行项目对接会上</w:t>
      </w:r>
      <w:r>
        <w:rPr>
          <w:rFonts w:hint="eastAsia" w:ascii="仿宋_GB2312" w:hAnsi="仿宋_GB2312" w:eastAsia="仿宋_GB2312" w:cs="仿宋_GB2312"/>
          <w:kern w:val="2"/>
          <w:sz w:val="32"/>
          <w:szCs w:val="32"/>
          <w:lang w:val="en-US" w:eastAsia="zh-CN" w:bidi="ar-SA"/>
        </w:rPr>
        <w:t>大力宣传推介塔什库尔干县旅游资源、生物科技、边境贸易、文化旅游、跨境电商等招商项目和出口商贸洽谈、边民互市建设；加强旅游宣传，发展壮大塔什库尔干旅游业，促进县域经济优势互补、合作共赢，解决富余劳动力就业，不断改善和提高农牧民生活水平，为塔县经济发展贡献力量。</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right="-92" w:rightChars="-44" w:firstLine="640" w:firstLineChars="200"/>
        <w:jc w:val="both"/>
        <w:rPr>
          <w:rFonts w:ascii="仿宋" w:hAnsi="仿宋" w:eastAsia="仿宋"/>
          <w:bCs/>
          <w:color w:val="FF0000"/>
          <w:spacing w:val="-4"/>
          <w:sz w:val="32"/>
          <w:szCs w:val="32"/>
        </w:rPr>
      </w:pPr>
      <w:r>
        <w:rPr>
          <w:rFonts w:hint="eastAsia" w:ascii="仿宋_GB2312" w:hAnsi="仿宋_GB2312" w:eastAsia="仿宋_GB2312" w:cs="仿宋_GB2312"/>
          <w:kern w:val="2"/>
          <w:sz w:val="32"/>
          <w:szCs w:val="32"/>
          <w:lang w:val="en-US" w:eastAsia="zh-CN" w:bidi="ar-SA"/>
        </w:rPr>
        <w:t>本项目性质为招商引资专项资金，县财政资金，项目为新增项目。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40" w:firstLineChars="200"/>
        <w:rPr>
          <w:rFonts w:ascii="仿宋" w:hAnsi="仿宋" w:eastAsia="仿宋"/>
          <w:bCs/>
          <w:color w:val="FF0000"/>
          <w:spacing w:val="-4"/>
          <w:sz w:val="32"/>
          <w:szCs w:val="32"/>
        </w:rPr>
      </w:pPr>
      <w:r>
        <w:rPr>
          <w:rFonts w:hint="eastAsia" w:ascii="仿宋_GB2312" w:hAnsi="仿宋_GB2312" w:eastAsia="仿宋_GB2312" w:cs="仿宋_GB2312"/>
          <w:kern w:val="2"/>
          <w:sz w:val="32"/>
          <w:szCs w:val="32"/>
          <w:lang w:val="en-US" w:eastAsia="zh-CN" w:bidi="ar-SA"/>
        </w:rPr>
        <w:t>招商引资项目资金</w:t>
      </w:r>
      <w:r>
        <w:rPr>
          <w:rFonts w:hint="eastAsia" w:ascii="仿宋_GB2312" w:hAnsi="仿宋_GB2312" w:eastAsia="仿宋_GB2312" w:cs="仿宋_GB2312"/>
          <w:sz w:val="32"/>
          <w:szCs w:val="32"/>
          <w:lang w:val="en-US" w:eastAsia="zh-CN"/>
        </w:rPr>
        <w:t>光彩事业南疆行</w:t>
      </w:r>
      <w:r>
        <w:rPr>
          <w:rFonts w:hint="eastAsia" w:ascii="仿宋_GB2312" w:hAnsi="仿宋_GB2312" w:eastAsia="仿宋_GB2312" w:cs="仿宋_GB2312"/>
          <w:kern w:val="2"/>
          <w:sz w:val="32"/>
          <w:szCs w:val="32"/>
          <w:lang w:val="en-US" w:eastAsia="zh-CN" w:bidi="ar-SA"/>
        </w:rPr>
        <w:t>项目主要用于</w:t>
      </w:r>
      <w:r>
        <w:rPr>
          <w:rFonts w:hint="eastAsia" w:ascii="仿宋_GB2312" w:hAnsi="仿宋_GB2312" w:eastAsia="仿宋_GB2312" w:cs="仿宋_GB2312"/>
          <w:sz w:val="32"/>
          <w:szCs w:val="32"/>
          <w:lang w:val="en-US" w:eastAsia="zh-CN"/>
        </w:rPr>
        <w:t>光彩事业南疆行项目对接会、项目签约仪式</w:t>
      </w:r>
      <w:r>
        <w:rPr>
          <w:rFonts w:hint="eastAsia" w:ascii="仿宋_GB2312" w:hAnsi="仿宋_GB2312" w:eastAsia="仿宋_GB2312" w:cs="仿宋_GB2312"/>
          <w:kern w:val="2"/>
          <w:sz w:val="32"/>
          <w:szCs w:val="32"/>
          <w:lang w:val="en-US" w:eastAsia="zh-CN" w:bidi="ar-SA"/>
        </w:rPr>
        <w:t>的参会参展人员差旅费用。</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right="-92" w:rightChars="-44" w:firstLine="640" w:firstLineChars="200"/>
        <w:jc w:val="both"/>
        <w:rPr>
          <w:rFonts w:ascii="仿宋" w:hAnsi="仿宋" w:eastAsia="仿宋"/>
          <w:bCs/>
          <w:color w:val="FF0000"/>
          <w:spacing w:val="-4"/>
          <w:sz w:val="32"/>
          <w:szCs w:val="32"/>
        </w:rPr>
      </w:pPr>
      <w:r>
        <w:rPr>
          <w:rFonts w:hint="eastAsia" w:ascii="仿宋_GB2312" w:hAnsi="仿宋_GB2312" w:eastAsia="仿宋_GB2312" w:cs="仿宋_GB2312"/>
          <w:sz w:val="32"/>
          <w:szCs w:val="32"/>
          <w:lang w:val="en-US" w:eastAsia="zh-CN"/>
        </w:rPr>
        <w:t>招商引资专项资金光彩事业南疆行项目预算安排总额为1.041万元，其中县财政资金1.041万元，自筹资金0万元，2018年实际收到预算资金1.041万元,</w:t>
      </w:r>
      <w:r>
        <w:rPr>
          <w:rFonts w:hint="eastAsia" w:ascii="仿宋_GB2312" w:eastAsia="仿宋_GB2312"/>
          <w:sz w:val="32"/>
          <w:szCs w:val="32"/>
          <w:lang w:val="en-US" w:eastAsia="zh-CN"/>
        </w:rPr>
        <w:t>已按时足额执行到位</w:t>
      </w:r>
      <w:r>
        <w:rPr>
          <w:rFonts w:hint="eastAsia" w:ascii="仿宋_GB2312" w:hAnsi="仿宋_GB2312" w:eastAsia="仿宋_GB2312" w:cs="仿宋_GB2312"/>
          <w:sz w:val="32"/>
          <w:szCs w:val="32"/>
          <w:lang w:val="en-US"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right="-92" w:rightChars="-44" w:firstLine="640" w:firstLineChars="200"/>
        <w:jc w:val="both"/>
        <w:rPr>
          <w:rFonts w:hint="eastAsia" w:ascii="仿宋" w:hAnsi="仿宋" w:eastAsia="仿宋"/>
          <w:bCs/>
          <w:color w:val="FF0000"/>
          <w:spacing w:val="-4"/>
          <w:sz w:val="32"/>
          <w:szCs w:val="32"/>
          <w:lang w:val="en-US"/>
        </w:rPr>
      </w:pPr>
      <w:r>
        <w:rPr>
          <w:rFonts w:hint="eastAsia" w:ascii="仿宋_GB2312" w:hAnsi="仿宋_GB2312" w:eastAsia="仿宋_GB2312" w:cs="仿宋_GB2312"/>
          <w:sz w:val="32"/>
          <w:szCs w:val="32"/>
          <w:lang w:val="en-US" w:eastAsia="zh-CN"/>
        </w:rPr>
        <w:t>本项目实际支付资金1.041万元，预算执行率100%。项目资金主要用于参会人员差旅费1.041万元。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right="-92" w:rightChars="-44" w:firstLine="640" w:firstLineChars="200"/>
        <w:jc w:val="both"/>
        <w:rPr>
          <w:rFonts w:hint="eastAsia" w:ascii="仿宋" w:hAnsi="仿宋" w:eastAsia="仿宋"/>
          <w:bCs/>
          <w:color w:val="FF0000"/>
          <w:spacing w:val="-4"/>
          <w:sz w:val="32"/>
          <w:szCs w:val="32"/>
        </w:rPr>
      </w:pPr>
      <w:r>
        <w:rPr>
          <w:rFonts w:hint="eastAsia" w:ascii="仿宋_GB2312" w:hAnsi="仿宋_GB2312" w:eastAsia="仿宋_GB2312" w:cs="仿宋_GB2312"/>
          <w:sz w:val="32"/>
          <w:szCs w:val="32"/>
          <w:lang w:val="en-US" w:eastAsia="zh-CN"/>
        </w:rPr>
        <w:t>本项目支出符合县财政资金管理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该项目招商引资专项资金项目,由县财政拨款审核批复，我单位自行组织实施，实施过程均按照县财政制定的管理制度执行，本项目不存在调整情况，本项目不存在检查验收程序。</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过程中，招商引资专项资金管理建立了专项资金管理使用办法保障项目的顺利实施。项目的实施遵守相关法律法规和业务管理规定，项目资料齐全并及时归档。已建立《招商引资专项资金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本项目共设置一级指标3个，二级指标9个，三级指标16个，其中已完成三级指标16个，指标完成率为100%。</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经济性：党政参会人数5人，参会企业数2家，签约个数1个，签约项目数1个，签约项目合同数1个，履约合同数1个。</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效率性：党政代表团按照地区要求按时参加会议，项目实际支出&lt;预算数。</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效益性：解决富余劳动力就业20人，对塔县经济的贡献率：签约合同项目到位资金&gt;50%，扩大塔县认知度，提高塔县影响力，签约项目符合环保要求。</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640" w:firstLineChars="200"/>
        <w:jc w:val="both"/>
        <w:rPr>
          <w:rFonts w:ascii="仿宋" w:hAnsi="仿宋" w:eastAsia="仿宋"/>
          <w:color w:val="FF0000"/>
          <w:spacing w:val="-4"/>
          <w:sz w:val="32"/>
          <w:szCs w:val="32"/>
        </w:rPr>
      </w:pPr>
      <w:r>
        <w:rPr>
          <w:rFonts w:hint="eastAsia" w:ascii="仿宋_GB2312" w:hAnsi="仿宋_GB2312" w:eastAsia="仿宋_GB2312" w:cs="仿宋_GB2312"/>
          <w:sz w:val="32"/>
          <w:szCs w:val="32"/>
          <w:lang w:val="en-US" w:eastAsia="zh-CN"/>
        </w:rPr>
        <w:t>不存在未完成情况:2018年本项目绩效目标全部达成，不存在未完成原因分析。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加强光彩事业南疆行签约项目的履约率，提供全方位、多领域、保姆式服务，换取项目早日建成投产。</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right="-92" w:rightChars="-44" w:firstLine="624" w:firstLineChars="200"/>
        <w:jc w:val="both"/>
        <w:rPr>
          <w:rFonts w:hint="eastAsia" w:ascii="仿宋" w:hAnsi="仿宋" w:eastAsia="仿宋"/>
          <w:bCs/>
          <w:spacing w:val="-4"/>
          <w:sz w:val="32"/>
          <w:szCs w:val="32"/>
        </w:rPr>
      </w:pPr>
      <w:r>
        <w:rPr>
          <w:rFonts w:hint="eastAsia" w:ascii="仿宋" w:hAnsi="仿宋" w:eastAsia="仿宋"/>
          <w:bCs/>
          <w:spacing w:val="-4"/>
          <w:sz w:val="32"/>
          <w:szCs w:val="32"/>
        </w:rPr>
        <w:t>主要经验及做法</w:t>
      </w:r>
    </w:p>
    <w:p>
      <w:pPr>
        <w:numPr>
          <w:ilvl w:val="0"/>
          <w:numId w:val="0"/>
        </w:numPr>
        <w:adjustRightInd w:val="0"/>
        <w:snapToGrid w:val="0"/>
        <w:spacing w:line="560" w:lineRule="exact"/>
        <w:ind w:right="-92" w:rightChars="-44"/>
        <w:jc w:val="both"/>
        <w:rPr>
          <w:rFonts w:hint="eastAsia" w:ascii="仿宋_GB2312" w:hAnsi="仿宋_GB2312" w:eastAsia="仿宋_GB2312" w:cs="仿宋_GB2312"/>
          <w:sz w:val="32"/>
          <w:szCs w:val="32"/>
          <w:lang w:val="en-US" w:eastAsia="zh-CN"/>
        </w:rPr>
      </w:pPr>
      <w:r>
        <w:rPr>
          <w:rFonts w:hint="eastAsia" w:ascii="仿宋" w:hAnsi="仿宋" w:eastAsia="仿宋"/>
          <w:bCs/>
          <w:spacing w:val="-4"/>
          <w:sz w:val="32"/>
          <w:szCs w:val="32"/>
          <w:lang w:val="en-US" w:eastAsia="zh-CN"/>
        </w:rPr>
        <w:t xml:space="preserve">    </w:t>
      </w:r>
      <w:r>
        <w:rPr>
          <w:rFonts w:hint="eastAsia" w:ascii="仿宋_GB2312" w:hAnsi="仿宋_GB2312" w:eastAsia="仿宋_GB2312" w:cs="仿宋_GB2312"/>
          <w:sz w:val="32"/>
          <w:szCs w:val="32"/>
          <w:lang w:val="en-US" w:eastAsia="zh-CN"/>
        </w:rPr>
        <w:t>年初提前做好展会的宣传推介工作，制定招商引资项目，提前联系对接洽谈项目。</w:t>
      </w:r>
    </w:p>
    <w:p>
      <w:pPr>
        <w:numPr>
          <w:ilvl w:val="0"/>
          <w:numId w:val="1"/>
        </w:numPr>
        <w:adjustRightInd w:val="0"/>
        <w:snapToGrid w:val="0"/>
        <w:spacing w:line="560" w:lineRule="exact"/>
        <w:ind w:left="0" w:leftChars="0" w:right="-92" w:rightChars="-44" w:firstLine="624" w:firstLineChars="200"/>
        <w:jc w:val="both"/>
        <w:rPr>
          <w:rFonts w:hint="eastAsia" w:ascii="仿宋" w:hAnsi="仿宋" w:eastAsia="仿宋"/>
          <w:bCs/>
          <w:spacing w:val="-4"/>
          <w:sz w:val="32"/>
          <w:szCs w:val="32"/>
        </w:rPr>
      </w:pPr>
      <w:r>
        <w:rPr>
          <w:rFonts w:hint="eastAsia" w:ascii="仿宋" w:hAnsi="仿宋" w:eastAsia="仿宋"/>
          <w:bCs/>
          <w:spacing w:val="-4"/>
          <w:sz w:val="32"/>
          <w:szCs w:val="32"/>
        </w:rPr>
        <w:t>存在的问题</w:t>
      </w:r>
    </w:p>
    <w:p>
      <w:pPr>
        <w:numPr>
          <w:ilvl w:val="0"/>
          <w:numId w:val="0"/>
        </w:numPr>
        <w:adjustRightInd w:val="0"/>
        <w:snapToGrid w:val="0"/>
        <w:spacing w:line="560" w:lineRule="exact"/>
        <w:ind w:leftChars="200" w:right="-92" w:rightChars="-44"/>
        <w:jc w:val="both"/>
        <w:rPr>
          <w:rFonts w:hint="eastAsia" w:ascii="仿宋" w:hAnsi="仿宋" w:eastAsia="仿宋"/>
          <w:bCs/>
          <w:spacing w:val="-4"/>
          <w:sz w:val="32"/>
          <w:szCs w:val="32"/>
          <w:lang w:val="en-US" w:eastAsia="zh-CN"/>
        </w:rPr>
      </w:pPr>
      <w:r>
        <w:rPr>
          <w:rFonts w:hint="eastAsia" w:ascii="仿宋" w:hAnsi="仿宋" w:eastAsia="仿宋"/>
          <w:bCs/>
          <w:spacing w:val="-4"/>
          <w:sz w:val="32"/>
          <w:szCs w:val="32"/>
          <w:lang w:val="en-US" w:eastAsia="zh-CN"/>
        </w:rPr>
        <w:t xml:space="preserve"> </w:t>
      </w:r>
      <w:r>
        <w:rPr>
          <w:rFonts w:hint="eastAsia" w:ascii="仿宋_GB2312" w:hAnsi="仿宋_GB2312" w:eastAsia="仿宋_GB2312" w:cs="仿宋_GB2312"/>
          <w:sz w:val="32"/>
          <w:szCs w:val="32"/>
          <w:lang w:val="en-US" w:eastAsia="zh-CN"/>
        </w:rPr>
        <w:t>展会签约项目履约率不高，资金到位率不高。</w:t>
      </w:r>
    </w:p>
    <w:p>
      <w:pPr>
        <w:numPr>
          <w:ilvl w:val="0"/>
          <w:numId w:val="1"/>
        </w:numPr>
        <w:adjustRightInd w:val="0"/>
        <w:snapToGrid w:val="0"/>
        <w:spacing w:line="560" w:lineRule="exact"/>
        <w:ind w:left="0" w:leftChars="0" w:right="-92" w:rightChars="-44" w:firstLine="624" w:firstLineChars="200"/>
        <w:jc w:val="both"/>
        <w:rPr>
          <w:rFonts w:hint="eastAsia" w:ascii="仿宋" w:hAnsi="仿宋" w:eastAsia="仿宋"/>
          <w:bCs/>
          <w:spacing w:val="-4"/>
          <w:sz w:val="32"/>
          <w:szCs w:val="32"/>
        </w:rPr>
      </w:pPr>
      <w:r>
        <w:rPr>
          <w:rFonts w:hint="eastAsia" w:ascii="仿宋" w:hAnsi="仿宋" w:eastAsia="仿宋"/>
          <w:bCs/>
          <w:spacing w:val="-4"/>
          <w:sz w:val="32"/>
          <w:szCs w:val="32"/>
        </w:rPr>
        <w:t>建议</w:t>
      </w:r>
    </w:p>
    <w:p>
      <w:pPr>
        <w:numPr>
          <w:ilvl w:val="0"/>
          <w:numId w:val="0"/>
        </w:numPr>
        <w:adjustRightInd w:val="0"/>
        <w:snapToGrid w:val="0"/>
        <w:spacing w:line="560" w:lineRule="exact"/>
        <w:ind w:left="0" w:leftChars="0" w:right="-92" w:rightChars="-44" w:firstLine="652" w:firstLineChars="209"/>
        <w:jc w:val="both"/>
        <w:rPr>
          <w:rFonts w:hint="eastAsia" w:ascii="仿宋_GB2312" w:hAnsi="仿宋_GB2312" w:eastAsia="仿宋_GB2312" w:cs="仿宋_GB2312"/>
          <w:sz w:val="32"/>
          <w:szCs w:val="32"/>
          <w:lang w:val="en-US" w:eastAsia="zh-CN"/>
        </w:rPr>
      </w:pPr>
      <w:r>
        <w:rPr>
          <w:rFonts w:hint="eastAsia" w:ascii="仿宋" w:hAnsi="仿宋" w:eastAsia="仿宋"/>
          <w:bCs/>
          <w:spacing w:val="-4"/>
          <w:sz w:val="32"/>
          <w:szCs w:val="32"/>
          <w:lang w:val="en-US" w:eastAsia="zh-CN"/>
        </w:rPr>
        <w:t xml:space="preserve"> </w:t>
      </w:r>
      <w:r>
        <w:rPr>
          <w:rFonts w:hint="eastAsia" w:ascii="仿宋_GB2312" w:hAnsi="仿宋_GB2312" w:eastAsia="仿宋_GB2312" w:cs="仿宋_GB2312"/>
          <w:sz w:val="32"/>
          <w:szCs w:val="32"/>
          <w:lang w:val="en-US" w:eastAsia="zh-CN"/>
        </w:rPr>
        <w:t>加大对招商引资企业的服务跟踪力度，提高项目履约率和资金到位率。</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right="-92" w:rightChars="-44" w:firstLine="640" w:firstLineChars="200"/>
        <w:jc w:val="both"/>
        <w:rPr>
          <w:rFonts w:ascii="仿宋" w:hAnsi="仿宋" w:eastAsia="仿宋"/>
          <w:color w:val="FF0000"/>
          <w:spacing w:val="-4"/>
          <w:sz w:val="32"/>
          <w:szCs w:val="32"/>
        </w:rPr>
      </w:pPr>
      <w:r>
        <w:rPr>
          <w:rFonts w:hint="eastAsia" w:ascii="仿宋_GB2312" w:hAnsi="仿宋_GB2312" w:eastAsia="仿宋_GB2312" w:cs="仿宋_GB2312"/>
          <w:sz w:val="32"/>
          <w:szCs w:val="32"/>
          <w:lang w:val="en-US" w:eastAsia="zh-CN"/>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评价通过文件研读、实地调研、数据分析等方式，全面了解招商引资项目资金的使用效率和效果，项目管理过程规范，完成了预期绩效目标。同时，通过开展自我评价来总结经验和教训，为喀什地区招商引资专项资金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rPr>
          <w:rStyle w:val="19"/>
          <w:rFonts w:hint="eastAsia" w:ascii="仿宋" w:hAnsi="仿宋" w:eastAsia="仿宋"/>
          <w:color w:val="FF0000"/>
          <w:spacing w:val="-4"/>
          <w:sz w:val="32"/>
          <w:szCs w:val="32"/>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5AC2A1"/>
    <w:multiLevelType w:val="singleLevel"/>
    <w:tmpl w:val="C05AC2A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AB56CE2"/>
    <w:rsid w:val="0EB107EC"/>
    <w:rsid w:val="21454B50"/>
    <w:rsid w:val="275833BE"/>
    <w:rsid w:val="397F4FE8"/>
    <w:rsid w:val="4EFD6A38"/>
    <w:rsid w:val="5A7F02EA"/>
    <w:rsid w:val="6E814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8"/>
    <w:uiPriority w:val="0"/>
    <w:rPr>
      <w:rFonts w:hint="default" w:ascii="Times New Roman" w:hAnsi="Times New Roman" w:cs="Times New Roman"/>
      <w:color w:val="000000"/>
      <w:sz w:val="24"/>
      <w:szCs w:val="24"/>
      <w:u w:val="none"/>
    </w:rPr>
  </w:style>
  <w:style w:type="character" w:customStyle="1" w:styleId="50">
    <w:name w:val="font01"/>
    <w:basedOn w:val="18"/>
    <w:uiPriority w:val="0"/>
    <w:rPr>
      <w:rFonts w:hint="eastAsia" w:ascii="宋体" w:hAnsi="宋体" w:eastAsia="宋体" w:cs="宋体"/>
      <w:color w:val="000000"/>
      <w:sz w:val="24"/>
      <w:szCs w:val="24"/>
      <w:u w:val="none"/>
    </w:rPr>
  </w:style>
  <w:style w:type="character" w:customStyle="1" w:styleId="51">
    <w:name w:val="font11"/>
    <w:basedOn w:val="18"/>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0</TotalTime>
  <ScaleCrop>false</ScaleCrop>
  <LinksUpToDate>false</LinksUpToDate>
  <CharactersWithSpaces>1916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2019-09-19T03:52:01Z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